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Форма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предоставления сведений о доходах, об имуществе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 обязательствах имущественного характера руководителей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государственных учреждений Ханты-Мансийского автономного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округа - Югры, а также о доходах, об имуществе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 обязательствах имущественного характера их супругов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 несовершеннолетних детей для размещения на официальных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сайтах государственных учреждений Ханты-Мансийского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автономного округа - Югры, исполнительных органов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государственной власти Ханты-Мансийского автономного округа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Югры, осуществляющих функции и полномочия учредителей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государственных учреждений Ханты-Мансийского автономного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округа - Югры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(за период с 1 января 2021 г. по 31 декабря 2021 г.)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  </w:t>
      </w:r>
    </w:p>
    <w:tbl>
      <w:tblPr>
        <w:tblW w:w="13506" w:type="dxa"/>
        <w:jc w:val="left"/>
        <w:tblInd w:w="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noVBand="1" w:val="04a0" w:noHBand="0" w:lastColumn="0" w:firstColumn="1" w:lastRow="0" w:firstRow="1"/>
      </w:tblPr>
      <w:tblGrid>
        <w:gridCol w:w="1851"/>
        <w:gridCol w:w="1540"/>
        <w:gridCol w:w="1134"/>
        <w:gridCol w:w="1689"/>
        <w:gridCol w:w="841"/>
        <w:gridCol w:w="1364"/>
        <w:gridCol w:w="758"/>
        <w:gridCol w:w="840"/>
        <w:gridCol w:w="1029"/>
        <w:gridCol w:w="1459"/>
        <w:gridCol w:w="999"/>
      </w:tblGrid>
      <w:tr>
        <w:trPr/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5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Объекты недвижимости,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находящиеся в собственности</w:t>
            </w:r>
          </w:p>
        </w:tc>
        <w:tc>
          <w:tcPr>
            <w:tcW w:w="2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2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Транспортные средства</w:t>
            </w:r>
          </w:p>
        </w:tc>
      </w:tr>
      <w:tr>
        <w:trPr/>
        <w:tc>
          <w:tcPr>
            <w:tcW w:w="185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вид объекта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вид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площадь (кв. м)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страна расположения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вид объекта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площадь (кв. м)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страна расположения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вид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марка</w:t>
            </w:r>
          </w:p>
        </w:tc>
      </w:tr>
      <w:tr>
        <w:trPr>
          <w:trHeight w:val="633" w:hRule="atLeast"/>
        </w:trPr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Зонина Светлана Николаевна, бюджетное учреждение Ханты-Мансийского автономного округа – Югры «Государственный художественный музей»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 xml:space="preserve">  </w:t>
            </w:r>
            <w:r>
              <w:rPr>
                <w:rFonts w:cs="Times New Roman" w:ascii="Times New Roman" w:hAnsi="Times New Roman"/>
              </w:rPr>
              <w:t>3 422 445,29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Жилой дом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индивидуальная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136,5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Россия</w:t>
            </w:r>
          </w:p>
        </w:tc>
        <w:tc>
          <w:tcPr>
            <w:tcW w:w="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Легковой автомобиль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HUNDAI</w:t>
            </w:r>
          </w:p>
        </w:tc>
      </w:tr>
      <w:tr>
        <w:trPr>
          <w:trHeight w:val="587" w:hRule="atLeast"/>
        </w:trPr>
        <w:tc>
          <w:tcPr>
            <w:tcW w:w="1851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Земельный участок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индивидуальная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625,0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Россия</w:t>
            </w:r>
          </w:p>
        </w:tc>
        <w:tc>
          <w:tcPr>
            <w:tcW w:w="758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9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Легковой автомобиль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HUNDAI</w:t>
            </w:r>
          </w:p>
        </w:tc>
      </w:tr>
      <w:tr>
        <w:trPr>
          <w:trHeight w:val="552" w:hRule="atLeast"/>
        </w:trPr>
        <w:tc>
          <w:tcPr>
            <w:tcW w:w="1851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Земельный участок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индивидуальная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1000,0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Россия</w:t>
            </w:r>
          </w:p>
        </w:tc>
        <w:tc>
          <w:tcPr>
            <w:tcW w:w="758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9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Легковой автомобиль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LADA GRANTA</w:t>
            </w:r>
          </w:p>
        </w:tc>
      </w:tr>
      <w:tr>
        <w:trPr>
          <w:trHeight w:val="749" w:hRule="atLeast"/>
        </w:trPr>
        <w:tc>
          <w:tcPr>
            <w:tcW w:w="1851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40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Нежилое здание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индивидуальная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20,2</w:t>
            </w:r>
          </w:p>
        </w:tc>
        <w:tc>
          <w:tcPr>
            <w:tcW w:w="136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Россия</w:t>
            </w:r>
          </w:p>
        </w:tc>
        <w:tc>
          <w:tcPr>
            <w:tcW w:w="758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40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29" w:type="dxa"/>
            <w:vMerge w:val="continue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5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Прицеп к легковому автомобилю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8213В5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DejaVu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62707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LibreOffice/7.0.6.2$Linux_X86_64 LibreOffice_project/00$Build-2</Application>
  <AppVersion>15.0000</AppVersion>
  <Pages>1</Pages>
  <Words>166</Words>
  <Characters>1228</Characters>
  <CharactersWithSpaces>1358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2022-04-29T06:12:00Z</dcterms:created>
  <dc:creator>Хусаинов Эльдар Эрикович</dc:creator>
  <dc:description/>
  <dc:language>ru-RU</dc:language>
  <cp:lastModifiedBy/>
  <cp:lastPrinted>2022-05-11T07:14:00Z</cp:lastPrinted>
  <dcterms:modified xsi:type="dcterms:W3CDTF">2022-05-11T17:06:27Z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