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DC" w:rsidRDefault="007A188A" w:rsidP="00F43EAD">
      <w:pPr>
        <w:tabs>
          <w:tab w:val="left" w:pos="2527"/>
        </w:tabs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Разъяснения</w:t>
      </w:r>
      <w:r w:rsidR="00F43E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E46">
        <w:rPr>
          <w:rFonts w:ascii="Times New Roman" w:hAnsi="Times New Roman"/>
          <w:color w:val="000000"/>
          <w:sz w:val="28"/>
          <w:szCs w:val="28"/>
        </w:rPr>
        <w:br/>
      </w:r>
      <w:r w:rsidR="0004143C">
        <w:rPr>
          <w:rFonts w:ascii="Times New Roman" w:hAnsi="Times New Roman"/>
          <w:color w:val="000000"/>
          <w:sz w:val="28"/>
          <w:szCs w:val="28"/>
        </w:rPr>
        <w:t>о целевом использовании карт по программе «Пушкинская карта»</w:t>
      </w:r>
    </w:p>
    <w:p w:rsidR="002402DC" w:rsidRDefault="002402DC" w:rsidP="002402DC">
      <w:pPr>
        <w:ind w:firstLine="709"/>
        <w:rPr>
          <w:rFonts w:ascii="Times New Roman" w:hAnsi="Times New Roman"/>
          <w:sz w:val="28"/>
          <w:szCs w:val="28"/>
        </w:rPr>
      </w:pPr>
    </w:p>
    <w:p w:rsidR="00E50647" w:rsidRDefault="002402DC" w:rsidP="0004143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</w:t>
      </w:r>
      <w:r w:rsidR="00E828E4">
        <w:rPr>
          <w:rFonts w:ascii="Times New Roman" w:hAnsi="Times New Roman"/>
          <w:sz w:val="28"/>
          <w:szCs w:val="28"/>
        </w:rPr>
        <w:t xml:space="preserve">а Российской Федерации от 9 сентября </w:t>
      </w:r>
      <w:r>
        <w:rPr>
          <w:rFonts w:ascii="Times New Roman" w:hAnsi="Times New Roman"/>
          <w:sz w:val="28"/>
          <w:szCs w:val="28"/>
        </w:rPr>
        <w:t>2021</w:t>
      </w:r>
      <w:r w:rsidR="007672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1521 «О социальной поддержке молодежи в возрасте от 14 до 22 лет для повышения доступности организаций культуры» с сентября 2021 года реализуется программа «Пушкинская карта»</w:t>
      </w:r>
      <w:r w:rsidR="00767215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04143C">
        <w:rPr>
          <w:rFonts w:ascii="Times New Roman" w:hAnsi="Times New Roman"/>
          <w:sz w:val="28"/>
          <w:szCs w:val="28"/>
        </w:rPr>
        <w:t>.</w:t>
      </w:r>
    </w:p>
    <w:p w:rsidR="00F67133" w:rsidRDefault="00E50647" w:rsidP="005B63C9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Реализац</w:t>
      </w:r>
      <w:r w:rsidR="00E828E4">
        <w:rPr>
          <w:rFonts w:ascii="Times New Roman" w:hAnsi="Times New Roman"/>
          <w:sz w:val="28"/>
          <w:szCs w:val="28"/>
        </w:rPr>
        <w:t>ия п</w:t>
      </w:r>
      <w:r w:rsidR="005B63C9">
        <w:rPr>
          <w:rFonts w:ascii="Times New Roman" w:hAnsi="Times New Roman"/>
          <w:sz w:val="28"/>
          <w:szCs w:val="28"/>
        </w:rPr>
        <w:t>рограммы</w:t>
      </w:r>
      <w:r w:rsidR="0004143C">
        <w:rPr>
          <w:rFonts w:ascii="Times New Roman" w:hAnsi="Times New Roman"/>
          <w:sz w:val="28"/>
          <w:szCs w:val="28"/>
        </w:rPr>
        <w:t xml:space="preserve"> </w:t>
      </w:r>
      <w:r w:rsidR="005B63C9">
        <w:rPr>
          <w:rFonts w:ascii="Times New Roman" w:hAnsi="Times New Roman"/>
          <w:sz w:val="28"/>
          <w:szCs w:val="28"/>
        </w:rPr>
        <w:t>связана с выполнением задач, обозначенных Стратегией национальной безопасности Российской Федерации, утвержденной Указом Президентом Российской Федера</w:t>
      </w:r>
      <w:r w:rsidR="00E828E4">
        <w:rPr>
          <w:rFonts w:ascii="Times New Roman" w:hAnsi="Times New Roman"/>
          <w:sz w:val="28"/>
          <w:szCs w:val="28"/>
        </w:rPr>
        <w:t xml:space="preserve">ции от 2 июля </w:t>
      </w:r>
      <w:r w:rsidR="00767215">
        <w:rPr>
          <w:rFonts w:ascii="Times New Roman" w:hAnsi="Times New Roman"/>
          <w:sz w:val="28"/>
          <w:szCs w:val="28"/>
        </w:rPr>
        <w:t>2021 года</w:t>
      </w:r>
      <w:r w:rsidR="005B63C9">
        <w:rPr>
          <w:rFonts w:ascii="Times New Roman" w:hAnsi="Times New Roman"/>
          <w:sz w:val="28"/>
          <w:szCs w:val="28"/>
        </w:rPr>
        <w:t xml:space="preserve"> № 400, Основами государственной политики по сохранению и укреплению традиционных российских духовно-нравственных ценностей, утвержденными Указом Президент</w:t>
      </w:r>
      <w:r w:rsidR="00E828E4">
        <w:rPr>
          <w:rFonts w:ascii="Times New Roman" w:hAnsi="Times New Roman"/>
          <w:sz w:val="28"/>
          <w:szCs w:val="28"/>
        </w:rPr>
        <w:t xml:space="preserve">а Российской Федерации от 9 ноября </w:t>
      </w:r>
      <w:r w:rsidR="005B63C9">
        <w:rPr>
          <w:rFonts w:ascii="Times New Roman" w:hAnsi="Times New Roman"/>
          <w:sz w:val="28"/>
          <w:szCs w:val="28"/>
        </w:rPr>
        <w:t>2022</w:t>
      </w:r>
      <w:r w:rsidR="00767215">
        <w:rPr>
          <w:rFonts w:ascii="Times New Roman" w:hAnsi="Times New Roman"/>
          <w:sz w:val="28"/>
          <w:szCs w:val="28"/>
        </w:rPr>
        <w:t xml:space="preserve"> года</w:t>
      </w:r>
      <w:r w:rsidR="005B63C9">
        <w:rPr>
          <w:rFonts w:ascii="Times New Roman" w:hAnsi="Times New Roman"/>
          <w:sz w:val="28"/>
          <w:szCs w:val="28"/>
        </w:rPr>
        <w:t xml:space="preserve"> № 809, а также необходимостью защиты продвижения российских духовно-нравственных ценностей, культуры и исторической памяти, организации эффективного противодействия</w:t>
      </w:r>
      <w:proofErr w:type="gramEnd"/>
      <w:r w:rsidR="005B63C9">
        <w:rPr>
          <w:rFonts w:ascii="Times New Roman" w:hAnsi="Times New Roman"/>
          <w:sz w:val="28"/>
          <w:szCs w:val="28"/>
        </w:rPr>
        <w:t xml:space="preserve"> деструктивному влиянию на них со стороны внешних сил</w:t>
      </w:r>
      <w:r w:rsidR="00F67133">
        <w:rPr>
          <w:rFonts w:ascii="Times New Roman" w:hAnsi="Times New Roman"/>
          <w:sz w:val="28"/>
          <w:szCs w:val="28"/>
        </w:rPr>
        <w:t>.</w:t>
      </w:r>
    </w:p>
    <w:p w:rsidR="00F67133" w:rsidRDefault="00F67133" w:rsidP="005B63C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аудитория Программы – российская молодежь в возрасте от 14 до 22 лет использует предоплаченную банковскую карт</w:t>
      </w:r>
      <w:r w:rsidR="00872C1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для оплаты билетов на посещение мероприятий, включенных в соответствующий реестр Программы.</w:t>
      </w:r>
    </w:p>
    <w:p w:rsidR="002402DC" w:rsidRPr="00E50647" w:rsidRDefault="00872C1E" w:rsidP="00872C1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рисками использования карт</w:t>
      </w:r>
      <w:r w:rsidR="00F67133">
        <w:rPr>
          <w:rFonts w:ascii="Times New Roman" w:hAnsi="Times New Roman"/>
          <w:sz w:val="28"/>
          <w:szCs w:val="28"/>
        </w:rPr>
        <w:t xml:space="preserve"> являются передача карты</w:t>
      </w:r>
      <w:r w:rsidR="00F43EAD">
        <w:rPr>
          <w:rFonts w:ascii="Times New Roman" w:hAnsi="Times New Roman"/>
          <w:sz w:val="28"/>
          <w:szCs w:val="28"/>
        </w:rPr>
        <w:t xml:space="preserve"> </w:t>
      </w:r>
      <w:r w:rsidR="00F67133">
        <w:rPr>
          <w:rFonts w:ascii="Times New Roman" w:hAnsi="Times New Roman"/>
          <w:sz w:val="28"/>
          <w:szCs w:val="28"/>
        </w:rPr>
        <w:t xml:space="preserve">(ее данных) или </w:t>
      </w:r>
      <w:r w:rsidR="0004143C">
        <w:rPr>
          <w:rFonts w:ascii="Times New Roman" w:hAnsi="Times New Roman"/>
          <w:sz w:val="28"/>
          <w:szCs w:val="28"/>
        </w:rPr>
        <w:t>именного</w:t>
      </w:r>
      <w:r>
        <w:rPr>
          <w:rFonts w:ascii="Times New Roman" w:hAnsi="Times New Roman"/>
          <w:sz w:val="28"/>
          <w:szCs w:val="28"/>
        </w:rPr>
        <w:t xml:space="preserve"> билета третьим лицам, продажи своей карты, аккаунта </w:t>
      </w:r>
      <w:proofErr w:type="spellStart"/>
      <w:r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именных билетов неопределенному кругу лиц что</w:t>
      </w:r>
      <w:r w:rsidR="00E828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может повлечь за собой уголовное преследование.  </w:t>
      </w:r>
    </w:p>
    <w:sectPr w:rsidR="002402DC" w:rsidRPr="00E50647">
      <w:pgSz w:w="11906" w:h="16838"/>
      <w:pgMar w:top="1560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FC" w:rsidRDefault="00A729FC">
      <w:r>
        <w:separator/>
      </w:r>
    </w:p>
  </w:endnote>
  <w:endnote w:type="continuationSeparator" w:id="0">
    <w:p w:rsidR="00A729FC" w:rsidRDefault="00A7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FC" w:rsidRDefault="00A729FC">
      <w:r>
        <w:separator/>
      </w:r>
    </w:p>
  </w:footnote>
  <w:footnote w:type="continuationSeparator" w:id="0">
    <w:p w:rsidR="00A729FC" w:rsidRDefault="00A72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F218C"/>
    <w:multiLevelType w:val="hybridMultilevel"/>
    <w:tmpl w:val="54B2BC66"/>
    <w:lvl w:ilvl="0" w:tplc="1EBEC2F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D604DEAC">
      <w:start w:val="1"/>
      <w:numFmt w:val="lowerLetter"/>
      <w:lvlText w:val="%2."/>
      <w:lvlJc w:val="left"/>
      <w:pPr>
        <w:ind w:left="1648" w:hanging="360"/>
      </w:pPr>
    </w:lvl>
    <w:lvl w:ilvl="2" w:tplc="21A06674">
      <w:start w:val="1"/>
      <w:numFmt w:val="lowerRoman"/>
      <w:lvlText w:val="%3."/>
      <w:lvlJc w:val="right"/>
      <w:pPr>
        <w:ind w:left="2368" w:hanging="180"/>
      </w:pPr>
    </w:lvl>
    <w:lvl w:ilvl="3" w:tplc="C626210A">
      <w:start w:val="1"/>
      <w:numFmt w:val="decimal"/>
      <w:lvlText w:val="%4."/>
      <w:lvlJc w:val="left"/>
      <w:pPr>
        <w:ind w:left="3088" w:hanging="360"/>
      </w:pPr>
    </w:lvl>
    <w:lvl w:ilvl="4" w:tplc="DF7071CE">
      <w:start w:val="1"/>
      <w:numFmt w:val="lowerLetter"/>
      <w:lvlText w:val="%5."/>
      <w:lvlJc w:val="left"/>
      <w:pPr>
        <w:ind w:left="3808" w:hanging="360"/>
      </w:pPr>
    </w:lvl>
    <w:lvl w:ilvl="5" w:tplc="87684AB2">
      <w:start w:val="1"/>
      <w:numFmt w:val="lowerRoman"/>
      <w:lvlText w:val="%6."/>
      <w:lvlJc w:val="right"/>
      <w:pPr>
        <w:ind w:left="4528" w:hanging="180"/>
      </w:pPr>
    </w:lvl>
    <w:lvl w:ilvl="6" w:tplc="00A2B574">
      <w:start w:val="1"/>
      <w:numFmt w:val="decimal"/>
      <w:lvlText w:val="%7."/>
      <w:lvlJc w:val="left"/>
      <w:pPr>
        <w:ind w:left="5248" w:hanging="360"/>
      </w:pPr>
    </w:lvl>
    <w:lvl w:ilvl="7" w:tplc="95D22D84">
      <w:start w:val="1"/>
      <w:numFmt w:val="lowerLetter"/>
      <w:lvlText w:val="%8."/>
      <w:lvlJc w:val="left"/>
      <w:pPr>
        <w:ind w:left="5968" w:hanging="360"/>
      </w:pPr>
    </w:lvl>
    <w:lvl w:ilvl="8" w:tplc="8B86048A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9225DAB"/>
    <w:multiLevelType w:val="hybridMultilevel"/>
    <w:tmpl w:val="67B2A8DA"/>
    <w:lvl w:ilvl="0" w:tplc="42BEE0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70E68F80">
      <w:start w:val="1"/>
      <w:numFmt w:val="lowerLetter"/>
      <w:lvlText w:val="%2."/>
      <w:lvlJc w:val="left"/>
      <w:pPr>
        <w:ind w:left="1789" w:hanging="360"/>
      </w:pPr>
    </w:lvl>
    <w:lvl w:ilvl="2" w:tplc="AB985F50">
      <w:start w:val="1"/>
      <w:numFmt w:val="lowerRoman"/>
      <w:lvlText w:val="%3."/>
      <w:lvlJc w:val="right"/>
      <w:pPr>
        <w:ind w:left="2509" w:hanging="180"/>
      </w:pPr>
    </w:lvl>
    <w:lvl w:ilvl="3" w:tplc="E0C0A82E">
      <w:start w:val="1"/>
      <w:numFmt w:val="decimal"/>
      <w:lvlText w:val="%4."/>
      <w:lvlJc w:val="left"/>
      <w:pPr>
        <w:ind w:left="3229" w:hanging="360"/>
      </w:pPr>
    </w:lvl>
    <w:lvl w:ilvl="4" w:tplc="659445BA">
      <w:start w:val="1"/>
      <w:numFmt w:val="lowerLetter"/>
      <w:lvlText w:val="%5."/>
      <w:lvlJc w:val="left"/>
      <w:pPr>
        <w:ind w:left="3949" w:hanging="360"/>
      </w:pPr>
    </w:lvl>
    <w:lvl w:ilvl="5" w:tplc="7F7C3086">
      <w:start w:val="1"/>
      <w:numFmt w:val="lowerRoman"/>
      <w:lvlText w:val="%6."/>
      <w:lvlJc w:val="right"/>
      <w:pPr>
        <w:ind w:left="4669" w:hanging="180"/>
      </w:pPr>
    </w:lvl>
    <w:lvl w:ilvl="6" w:tplc="F4B0B700">
      <w:start w:val="1"/>
      <w:numFmt w:val="decimal"/>
      <w:lvlText w:val="%7."/>
      <w:lvlJc w:val="left"/>
      <w:pPr>
        <w:ind w:left="5389" w:hanging="360"/>
      </w:pPr>
    </w:lvl>
    <w:lvl w:ilvl="7" w:tplc="0F0A4210">
      <w:start w:val="1"/>
      <w:numFmt w:val="lowerLetter"/>
      <w:lvlText w:val="%8."/>
      <w:lvlJc w:val="left"/>
      <w:pPr>
        <w:ind w:left="6109" w:hanging="360"/>
      </w:pPr>
    </w:lvl>
    <w:lvl w:ilvl="8" w:tplc="C9B8390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DC"/>
    <w:rsid w:val="0004143C"/>
    <w:rsid w:val="00092A89"/>
    <w:rsid w:val="0011786B"/>
    <w:rsid w:val="001C233E"/>
    <w:rsid w:val="0020004A"/>
    <w:rsid w:val="002402DC"/>
    <w:rsid w:val="00323AE7"/>
    <w:rsid w:val="00417E2A"/>
    <w:rsid w:val="00464C19"/>
    <w:rsid w:val="005B63C9"/>
    <w:rsid w:val="00607F80"/>
    <w:rsid w:val="00620EA6"/>
    <w:rsid w:val="00767215"/>
    <w:rsid w:val="00770986"/>
    <w:rsid w:val="007A188A"/>
    <w:rsid w:val="007A39A2"/>
    <w:rsid w:val="00872C1E"/>
    <w:rsid w:val="00873264"/>
    <w:rsid w:val="008A4905"/>
    <w:rsid w:val="00961CC7"/>
    <w:rsid w:val="00A534DC"/>
    <w:rsid w:val="00A729FC"/>
    <w:rsid w:val="00AA6BB2"/>
    <w:rsid w:val="00B21CDD"/>
    <w:rsid w:val="00B33902"/>
    <w:rsid w:val="00BF2E46"/>
    <w:rsid w:val="00C04D8E"/>
    <w:rsid w:val="00C44093"/>
    <w:rsid w:val="00C6311F"/>
    <w:rsid w:val="00CC7A32"/>
    <w:rsid w:val="00CE629F"/>
    <w:rsid w:val="00DA4352"/>
    <w:rsid w:val="00E50647"/>
    <w:rsid w:val="00E828E4"/>
    <w:rsid w:val="00F43EAD"/>
    <w:rsid w:val="00F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322" w:lineRule="exact"/>
      <w:ind w:firstLine="0"/>
      <w:jc w:val="righ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322" w:lineRule="exact"/>
      <w:ind w:firstLine="0"/>
      <w:jc w:val="righ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Петривляк Елена Ивановна</dc:creator>
  <cp:lastModifiedBy>Филатова Мария Валериевна</cp:lastModifiedBy>
  <cp:revision>53</cp:revision>
  <dcterms:created xsi:type="dcterms:W3CDTF">2022-06-27T09:53:00Z</dcterms:created>
  <dcterms:modified xsi:type="dcterms:W3CDTF">2023-06-30T11:25:00Z</dcterms:modified>
</cp:coreProperties>
</file>